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3A" w:rsidRPr="00AF58F3" w:rsidRDefault="0061663A" w:rsidP="00815962">
      <w:pPr>
        <w:jc w:val="center"/>
        <w:rPr>
          <w:b/>
          <w:lang w:val="lt-LT"/>
        </w:rPr>
      </w:pPr>
    </w:p>
    <w:p w:rsidR="001F3C12" w:rsidRDefault="001F3C12" w:rsidP="00D74209">
      <w:pPr>
        <w:jc w:val="center"/>
        <w:rPr>
          <w:lang w:val="lt-LT"/>
        </w:rPr>
      </w:pPr>
      <w:r w:rsidRPr="0050573F">
        <w:rPr>
          <w:b/>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rsidR="00AB5501" w:rsidRPr="00C01E1E" w:rsidRDefault="00AB5501" w:rsidP="00D74209">
      <w:pPr>
        <w:jc w:val="center"/>
        <w:rPr>
          <w:sz w:val="16"/>
          <w:szCs w:val="16"/>
          <w:lang w:val="lt-LT"/>
        </w:rPr>
      </w:pPr>
    </w:p>
    <w:p w:rsidR="008044CD" w:rsidRDefault="008044CD" w:rsidP="008044CD">
      <w:pPr>
        <w:jc w:val="center"/>
        <w:rPr>
          <w:b/>
          <w:lang w:val="pt-BR"/>
        </w:rPr>
      </w:pPr>
      <w:r>
        <w:rPr>
          <w:b/>
          <w:noProof/>
          <w:lang w:val="lt-LT" w:eastAsia="lt-LT"/>
        </w:rPr>
        <w:drawing>
          <wp:inline distT="0" distB="0" distL="0" distR="0" wp14:anchorId="65D5EDBF" wp14:editId="5B0E979F">
            <wp:extent cx="822960" cy="906780"/>
            <wp:effectExtent l="0" t="0" r="0" b="762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906780"/>
                    </a:xfrm>
                    <a:prstGeom prst="rect">
                      <a:avLst/>
                    </a:prstGeom>
                    <a:solidFill>
                      <a:srgbClr val="FFFFFF"/>
                    </a:solidFill>
                    <a:ln>
                      <a:noFill/>
                    </a:ln>
                  </pic:spPr>
                </pic:pic>
              </a:graphicData>
            </a:graphic>
          </wp:inline>
        </w:drawing>
      </w:r>
    </w:p>
    <w:p w:rsidR="008044CD" w:rsidRDefault="008044CD" w:rsidP="008044CD">
      <w:pPr>
        <w:spacing w:after="0" w:line="240" w:lineRule="auto"/>
        <w:jc w:val="center"/>
        <w:rPr>
          <w:b/>
        </w:rPr>
      </w:pPr>
      <w:r>
        <w:rPr>
          <w:b/>
          <w:lang w:val="pt-BR"/>
        </w:rPr>
        <w:t>V</w:t>
      </w:r>
      <w:r>
        <w:rPr>
          <w:b/>
        </w:rPr>
        <w:t xml:space="preserve">AKARŲ LIETUVOS </w:t>
      </w:r>
    </w:p>
    <w:p w:rsidR="008044CD" w:rsidRDefault="008044CD" w:rsidP="008044CD">
      <w:pPr>
        <w:pBdr>
          <w:bottom w:val="single" w:sz="8" w:space="1" w:color="000000"/>
        </w:pBdr>
        <w:spacing w:after="0" w:line="240" w:lineRule="auto"/>
        <w:jc w:val="center"/>
        <w:rPr>
          <w:b/>
        </w:rPr>
      </w:pPr>
      <w:r>
        <w:rPr>
          <w:b/>
        </w:rPr>
        <w:t>ŽUVININKYSTĖS REGIONO VIETOS VEIKLOS GRUPĖ</w:t>
      </w:r>
    </w:p>
    <w:p w:rsidR="00C604D3" w:rsidRPr="00AF58F3" w:rsidRDefault="00C604D3" w:rsidP="000541E4">
      <w:pPr>
        <w:jc w:val="center"/>
        <w:rPr>
          <w:lang w:val="lt-LT"/>
        </w:rPr>
      </w:pPr>
    </w:p>
    <w:p w:rsidR="00AB5501" w:rsidRDefault="00AB5501" w:rsidP="00AA3035">
      <w:pPr>
        <w:spacing w:after="0" w:line="240" w:lineRule="auto"/>
        <w:jc w:val="center"/>
        <w:rPr>
          <w:b/>
          <w:lang w:val="lt-LT"/>
        </w:rPr>
      </w:pPr>
    </w:p>
    <w:p w:rsidR="00815962" w:rsidRPr="00AB5501" w:rsidRDefault="000541E4" w:rsidP="00AA3035">
      <w:pPr>
        <w:spacing w:after="0" w:line="240" w:lineRule="auto"/>
        <w:jc w:val="center"/>
        <w:rPr>
          <w:b/>
          <w:lang w:val="lt-LT"/>
        </w:rPr>
      </w:pPr>
      <w:r w:rsidRPr="00AB5501">
        <w:rPr>
          <w:b/>
          <w:lang w:val="lt-LT"/>
        </w:rPr>
        <w:t xml:space="preserve">KVIETIMAS </w:t>
      </w:r>
      <w:r w:rsidR="00AB5501" w:rsidRPr="00AB5501">
        <w:rPr>
          <w:b/>
          <w:lang w:val="lt-LT"/>
        </w:rPr>
        <w:t xml:space="preserve">TEIKTI VIETOS PROJEKTUS Nr. </w:t>
      </w:r>
      <w:r w:rsidR="00A957AF">
        <w:rPr>
          <w:b/>
          <w:lang w:val="lt-LT"/>
        </w:rPr>
        <w:t>2</w:t>
      </w:r>
    </w:p>
    <w:p w:rsidR="000541E4" w:rsidRPr="00AF58F3" w:rsidRDefault="000541E4" w:rsidP="00AB5501">
      <w:pPr>
        <w:spacing w:after="0" w:line="240" w:lineRule="auto"/>
        <w:jc w:val="center"/>
        <w:rPr>
          <w:lang w:val="lt-LT"/>
        </w:rPr>
      </w:pPr>
    </w:p>
    <w:p w:rsidR="0065482F" w:rsidRDefault="008044CD" w:rsidP="0065482F">
      <w:pPr>
        <w:ind w:firstLine="567"/>
        <w:jc w:val="both"/>
        <w:rPr>
          <w:szCs w:val="24"/>
          <w:lang w:val="lt-LT"/>
        </w:rPr>
      </w:pPr>
      <w:r>
        <w:rPr>
          <w:b/>
          <w:szCs w:val="24"/>
          <w:lang w:val="lt-LT"/>
        </w:rPr>
        <w:t>Vakarų Lietuvos žuvininkyst</w:t>
      </w:r>
      <w:r w:rsidR="001C1F9E">
        <w:rPr>
          <w:b/>
          <w:szCs w:val="24"/>
          <w:lang w:val="lt-LT"/>
        </w:rPr>
        <w:t>ės regiono vietos veiklos grupė</w:t>
      </w:r>
      <w:r w:rsidR="00AB5501" w:rsidRPr="006D3A93">
        <w:rPr>
          <w:szCs w:val="24"/>
          <w:lang w:val="lt-LT"/>
        </w:rPr>
        <w:t xml:space="preserve"> </w:t>
      </w:r>
      <w:r w:rsidR="00F91FE6" w:rsidRPr="006D3A93">
        <w:rPr>
          <w:szCs w:val="24"/>
          <w:lang w:val="lt-LT"/>
        </w:rPr>
        <w:t xml:space="preserve">(toliau – ŽRVVG) </w:t>
      </w:r>
      <w:r w:rsidR="0065482F" w:rsidRPr="006D3A93">
        <w:rPr>
          <w:szCs w:val="24"/>
          <w:lang w:val="lt-LT"/>
        </w:rPr>
        <w:t xml:space="preserve">kviečia teikti vietos projektus pagal </w:t>
      </w:r>
      <w:r w:rsidR="00F45B6D" w:rsidRPr="006D3A93">
        <w:rPr>
          <w:szCs w:val="24"/>
          <w:lang w:val="lt-LT"/>
        </w:rPr>
        <w:t>strategijos</w:t>
      </w:r>
      <w:r w:rsidR="00AB5501" w:rsidRPr="006D3A93">
        <w:rPr>
          <w:szCs w:val="24"/>
          <w:lang w:val="lt-LT"/>
        </w:rPr>
        <w:t xml:space="preserve"> </w:t>
      </w:r>
      <w:r w:rsidR="00AB5501" w:rsidRPr="006D3A93">
        <w:rPr>
          <w:b/>
          <w:szCs w:val="24"/>
          <w:lang w:val="lt-LT"/>
        </w:rPr>
        <w:t>„</w:t>
      </w:r>
      <w:r w:rsidRPr="008044CD">
        <w:rPr>
          <w:rStyle w:val="st"/>
          <w:szCs w:val="24"/>
          <w:lang w:val="lt-LT"/>
        </w:rPr>
        <w:t xml:space="preserve">Vakarų Lietuvos žvejybos ir akvakultūros regiono vietos plėtros strategijos iki 2023 </w:t>
      </w:r>
      <w:r>
        <w:rPr>
          <w:rStyle w:val="st"/>
          <w:szCs w:val="24"/>
        </w:rPr>
        <w:t>m</w:t>
      </w:r>
      <w:r w:rsidR="00AB5501" w:rsidRPr="006D3A93">
        <w:rPr>
          <w:b/>
          <w:szCs w:val="24"/>
          <w:lang w:val="lt-LT"/>
        </w:rPr>
        <w:t>“</w:t>
      </w:r>
      <w:r w:rsidR="00AB5501" w:rsidRPr="006D3A93">
        <w:rPr>
          <w:szCs w:val="24"/>
          <w:lang w:val="lt-LT"/>
        </w:rPr>
        <w:t xml:space="preserve"> </w:t>
      </w:r>
      <w:r w:rsidR="0065482F" w:rsidRPr="006D3A93">
        <w:rPr>
          <w:szCs w:val="24"/>
          <w:lang w:val="lt-LT"/>
        </w:rPr>
        <w:t>(toliau – VPS)</w:t>
      </w:r>
      <w:r w:rsidR="00726AC3" w:rsidRPr="006D3A93">
        <w:rPr>
          <w:szCs w:val="24"/>
          <w:lang w:val="lt-LT"/>
        </w:rPr>
        <w:t xml:space="preserve"> </w:t>
      </w:r>
      <w:r w:rsidR="00BC5976" w:rsidRPr="006D3A93">
        <w:rPr>
          <w:szCs w:val="24"/>
          <w:lang w:val="lt-LT"/>
        </w:rPr>
        <w:t>priemon</w:t>
      </w:r>
      <w:r w:rsidR="00BC5976">
        <w:rPr>
          <w:szCs w:val="24"/>
          <w:lang w:val="lt-LT"/>
        </w:rPr>
        <w:t xml:space="preserve">es </w:t>
      </w:r>
      <w:r w:rsidR="00A957AF" w:rsidRPr="00A957AF">
        <w:rPr>
          <w:szCs w:val="24"/>
          <w:lang w:val="lt-LT"/>
        </w:rPr>
        <w:t>„Rinkodaros priemonės“, kodas BIVP</w:t>
      </w:r>
      <w:proofErr w:type="gramStart"/>
      <w:r w:rsidR="00A957AF" w:rsidRPr="00A957AF">
        <w:rPr>
          <w:szCs w:val="24"/>
          <w:lang w:val="lt-LT"/>
        </w:rPr>
        <w:t>-</w:t>
      </w:r>
      <w:proofErr w:type="gramEnd"/>
      <w:r w:rsidR="00A957AF" w:rsidRPr="00A957AF">
        <w:rPr>
          <w:szCs w:val="24"/>
          <w:lang w:val="lt-LT"/>
        </w:rPr>
        <w:t>AKVA-8</w:t>
      </w:r>
      <w:r w:rsidR="00A957AF" w:rsidRPr="00F94559">
        <w:rPr>
          <w:sz w:val="22"/>
        </w:rPr>
        <w:t xml:space="preserve"> </w:t>
      </w:r>
      <w:r w:rsidR="00BC5976">
        <w:rPr>
          <w:szCs w:val="24"/>
          <w:lang w:val="lt-LT"/>
        </w:rPr>
        <w:t>ir</w:t>
      </w:r>
      <w:r w:rsidR="00A957AF">
        <w:rPr>
          <w:szCs w:val="24"/>
          <w:lang w:val="lt-LT"/>
        </w:rPr>
        <w:t xml:space="preserve"> </w:t>
      </w:r>
      <w:r w:rsidR="00A957AF" w:rsidRPr="00A957AF">
        <w:rPr>
          <w:szCs w:val="24"/>
          <w:lang w:val="lt-LT"/>
        </w:rPr>
        <w:t>„Mažosios infrastruktūros, viešųjų erdvių pritaikymas žvejų bendruomenės ir turistų poreikiams“, kodas BIVP-AKVA-SAVA-2</w:t>
      </w:r>
      <w:r w:rsidR="008133B1">
        <w:rPr>
          <w:szCs w:val="24"/>
          <w:lang w:val="lt-LT"/>
        </w:rPr>
        <w:t>:</w:t>
      </w:r>
    </w:p>
    <w:tbl>
      <w:tblPr>
        <w:tblStyle w:val="Lentelstinklelis"/>
        <w:tblW w:w="0" w:type="auto"/>
        <w:tblLook w:val="04A0" w:firstRow="1" w:lastRow="0" w:firstColumn="1" w:lastColumn="0" w:noHBand="0" w:noVBand="1"/>
      </w:tblPr>
      <w:tblGrid>
        <w:gridCol w:w="3369"/>
        <w:gridCol w:w="6549"/>
      </w:tblGrid>
      <w:tr w:rsidR="00BC5976" w:rsidRPr="00A91776" w:rsidTr="00BC5976">
        <w:tc>
          <w:tcPr>
            <w:tcW w:w="3369" w:type="dxa"/>
            <w:vMerge w:val="restart"/>
          </w:tcPr>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A957AF">
            <w:pPr>
              <w:jc w:val="both"/>
              <w:rPr>
                <w:b/>
                <w:szCs w:val="24"/>
                <w:lang w:val="lt-LT"/>
              </w:rPr>
            </w:pPr>
            <w:r w:rsidRPr="00A91776">
              <w:rPr>
                <w:b/>
                <w:szCs w:val="24"/>
                <w:lang w:val="lt-LT"/>
              </w:rPr>
              <w:t xml:space="preserve">VPS priemonė </w:t>
            </w:r>
            <w:r w:rsidR="008044CD" w:rsidRPr="00A957AF">
              <w:rPr>
                <w:b/>
                <w:szCs w:val="24"/>
                <w:lang w:val="lt-LT"/>
              </w:rPr>
              <w:t>„</w:t>
            </w:r>
            <w:r w:rsidR="00A957AF" w:rsidRPr="00A957AF">
              <w:rPr>
                <w:b/>
                <w:szCs w:val="24"/>
                <w:lang w:val="lt-LT"/>
              </w:rPr>
              <w:t>Rinkodaros priemonės</w:t>
            </w:r>
            <w:r w:rsidR="00A957AF">
              <w:rPr>
                <w:b/>
                <w:szCs w:val="24"/>
                <w:lang w:val="lt-LT"/>
              </w:rPr>
              <w:t>“ kodas BIVP</w:t>
            </w:r>
            <w:proofErr w:type="gramStart"/>
            <w:r w:rsidR="00A957AF">
              <w:rPr>
                <w:b/>
                <w:szCs w:val="24"/>
                <w:lang w:val="lt-LT"/>
              </w:rPr>
              <w:t>-</w:t>
            </w:r>
            <w:proofErr w:type="gramEnd"/>
            <w:r w:rsidR="00A957AF">
              <w:rPr>
                <w:b/>
                <w:szCs w:val="24"/>
                <w:lang w:val="lt-LT"/>
              </w:rPr>
              <w:t>AKVA-8</w:t>
            </w:r>
          </w:p>
        </w:tc>
        <w:tc>
          <w:tcPr>
            <w:tcW w:w="6549" w:type="dxa"/>
          </w:tcPr>
          <w:p w:rsidR="00123009" w:rsidRPr="00123009" w:rsidRDefault="00BC5976" w:rsidP="00123009">
            <w:pPr>
              <w:autoSpaceDE w:val="0"/>
              <w:autoSpaceDN w:val="0"/>
              <w:adjustRightInd w:val="0"/>
              <w:jc w:val="both"/>
              <w:rPr>
                <w:szCs w:val="24"/>
                <w:lang w:val="lt-LT"/>
              </w:rPr>
            </w:pPr>
            <w:r w:rsidRPr="00A91776">
              <w:rPr>
                <w:b/>
                <w:szCs w:val="24"/>
                <w:lang w:val="lt-LT"/>
              </w:rPr>
              <w:t xml:space="preserve">Remiamos veiklos: </w:t>
            </w:r>
            <w:r w:rsidR="00123009" w:rsidRPr="00123009">
              <w:rPr>
                <w:szCs w:val="24"/>
                <w:lang w:val="lt-LT"/>
              </w:rPr>
              <w:t>tam tikros veiklos, kaip numatyta reglamento (ES) Nr. 508/2014 68 straipsnyje, kuriomis siekiama:</w:t>
            </w:r>
          </w:p>
          <w:p w:rsidR="00123009" w:rsidRPr="00123009" w:rsidRDefault="00123009" w:rsidP="00123009">
            <w:pPr>
              <w:shd w:val="clear" w:color="auto" w:fill="FFFFFF"/>
              <w:spacing w:line="279" w:lineRule="atLeast"/>
              <w:jc w:val="both"/>
              <w:rPr>
                <w:szCs w:val="24"/>
                <w:lang w:val="lt-LT"/>
              </w:rPr>
            </w:pPr>
            <w:r w:rsidRPr="00123009">
              <w:rPr>
                <w:szCs w:val="24"/>
                <w:lang w:val="lt-LT"/>
              </w:rPr>
              <w:t>1. ieškoti naujų rinkų ir gerinti žvejybos ir akvakultūros produktų tiekimo rinkai sąlygas;</w:t>
            </w:r>
          </w:p>
          <w:p w:rsidR="00123009" w:rsidRPr="00123009" w:rsidRDefault="00123009" w:rsidP="00123009">
            <w:pPr>
              <w:shd w:val="clear" w:color="auto" w:fill="FFFFFF"/>
              <w:spacing w:line="279" w:lineRule="atLeast"/>
              <w:jc w:val="both"/>
              <w:rPr>
                <w:szCs w:val="24"/>
                <w:lang w:val="lt-LT"/>
              </w:rPr>
            </w:pPr>
            <w:r w:rsidRPr="00123009">
              <w:rPr>
                <w:szCs w:val="24"/>
                <w:lang w:val="lt-LT"/>
              </w:rPr>
              <w:t xml:space="preserve">2. skatinti palankesnes </w:t>
            </w:r>
            <w:proofErr w:type="gramStart"/>
            <w:r w:rsidRPr="00123009">
              <w:rPr>
                <w:szCs w:val="24"/>
                <w:lang w:val="lt-LT"/>
              </w:rPr>
              <w:t>pardavimų</w:t>
            </w:r>
            <w:proofErr w:type="gramEnd"/>
            <w:r w:rsidRPr="00123009">
              <w:rPr>
                <w:szCs w:val="24"/>
                <w:lang w:val="lt-LT"/>
              </w:rPr>
              <w:t xml:space="preserve"> sąlygas;</w:t>
            </w:r>
          </w:p>
          <w:p w:rsidR="00123009" w:rsidRPr="00123009" w:rsidRDefault="00123009" w:rsidP="00123009">
            <w:pPr>
              <w:shd w:val="clear" w:color="auto" w:fill="FFFFFF"/>
              <w:spacing w:line="279" w:lineRule="atLeast"/>
              <w:jc w:val="both"/>
              <w:rPr>
                <w:szCs w:val="24"/>
                <w:lang w:val="lt-LT"/>
              </w:rPr>
            </w:pPr>
            <w:r w:rsidRPr="00123009">
              <w:rPr>
                <w:szCs w:val="24"/>
                <w:lang w:val="lt-LT"/>
              </w:rPr>
              <w:t>3. vykdyti regionines, nacionalines ar tarptautines komunikacijos ir reklamines kampanijas siekiant didinti visuomenės informuotumą apie tausios žvejybos ir akvakultūros produktus, regiono žuvies perdirbimo tradicijas, kulinarinio paveldo produktus.</w:t>
            </w:r>
          </w:p>
          <w:p w:rsidR="00BC5976" w:rsidRPr="00123009" w:rsidRDefault="00123009" w:rsidP="00123009">
            <w:pPr>
              <w:shd w:val="clear" w:color="auto" w:fill="FFFFFF"/>
              <w:spacing w:line="279" w:lineRule="atLeast"/>
              <w:jc w:val="both"/>
              <w:rPr>
                <w:sz w:val="22"/>
              </w:rPr>
            </w:pPr>
            <w:r w:rsidRPr="00123009">
              <w:rPr>
                <w:szCs w:val="24"/>
                <w:lang w:val="lt-LT"/>
              </w:rPr>
              <w:t>1–3 punktuose nurodytos veiklos gali apimti tiekimo, gamybos, perdirbimo ir prekybos veiklą. 3 papunktyje nurodyta veikla nėra skirta prekių ženklams.</w:t>
            </w:r>
          </w:p>
        </w:tc>
      </w:tr>
      <w:tr w:rsidR="00BC5976" w:rsidRPr="00A91776" w:rsidTr="00BC5976">
        <w:tc>
          <w:tcPr>
            <w:tcW w:w="3369" w:type="dxa"/>
            <w:vMerge/>
          </w:tcPr>
          <w:p w:rsidR="00BC5976" w:rsidRPr="00A91776" w:rsidRDefault="00BC5976" w:rsidP="00C67218">
            <w:pPr>
              <w:jc w:val="both"/>
              <w:rPr>
                <w:szCs w:val="24"/>
                <w:lang w:val="lt-LT"/>
              </w:rPr>
            </w:pPr>
          </w:p>
        </w:tc>
        <w:tc>
          <w:tcPr>
            <w:tcW w:w="6549" w:type="dxa"/>
          </w:tcPr>
          <w:p w:rsidR="00BC5976" w:rsidRPr="00123009" w:rsidRDefault="00BC5976" w:rsidP="00123009">
            <w:pPr>
              <w:jc w:val="both"/>
              <w:rPr>
                <w:sz w:val="22"/>
              </w:rPr>
            </w:pPr>
            <w:r w:rsidRPr="00A91776">
              <w:rPr>
                <w:rFonts w:eastAsia="Calibri"/>
                <w:b/>
                <w:szCs w:val="24"/>
                <w:lang w:val="lt-LT"/>
              </w:rPr>
              <w:t xml:space="preserve">Tinkami vietos projektų vykdytojai: </w:t>
            </w:r>
            <w:r w:rsidR="00123009" w:rsidRPr="00123009">
              <w:rPr>
                <w:szCs w:val="24"/>
                <w:lang w:val="lt-LT"/>
              </w:rPr>
              <w:t>Viešieji juridiniai asmenys: nevyriausybinė organizacija, bendruomeninė organizacija ar kita asociacija, viešoji įstaiga, registruoti ir veikiantys Vakarų Lietuvos ŽRVVG teritorijoje ne trumpiau kaip 2 metai iki paraiškos pateikimo.</w:t>
            </w:r>
          </w:p>
        </w:tc>
      </w:tr>
      <w:tr w:rsidR="00BC5976" w:rsidRPr="00A91776" w:rsidTr="00BC5976">
        <w:tc>
          <w:tcPr>
            <w:tcW w:w="3369" w:type="dxa"/>
            <w:vMerge/>
          </w:tcPr>
          <w:p w:rsidR="00BC5976" w:rsidRPr="00A91776" w:rsidRDefault="00BC5976" w:rsidP="00C67218">
            <w:pPr>
              <w:jc w:val="both"/>
              <w:rPr>
                <w:szCs w:val="24"/>
                <w:lang w:val="lt-LT"/>
              </w:rPr>
            </w:pPr>
          </w:p>
        </w:tc>
        <w:tc>
          <w:tcPr>
            <w:tcW w:w="6549" w:type="dxa"/>
          </w:tcPr>
          <w:p w:rsidR="00BC5976" w:rsidRPr="00A91776" w:rsidRDefault="00BC5976" w:rsidP="00123009">
            <w:pPr>
              <w:jc w:val="both"/>
              <w:rPr>
                <w:b/>
                <w:szCs w:val="24"/>
                <w:lang w:val="lt-LT"/>
              </w:rPr>
            </w:pPr>
            <w:r w:rsidRPr="00A91776">
              <w:rPr>
                <w:b/>
                <w:szCs w:val="24"/>
                <w:lang w:val="lt-LT"/>
              </w:rPr>
              <w:t>Kvietimui s</w:t>
            </w:r>
            <w:r w:rsidR="00171B69">
              <w:rPr>
                <w:b/>
                <w:szCs w:val="24"/>
                <w:lang w:val="lt-LT"/>
              </w:rPr>
              <w:t xml:space="preserve">kiriama VPS paramos lėšų suma </w:t>
            </w:r>
            <w:r w:rsidR="00123009" w:rsidRPr="00123009">
              <w:rPr>
                <w:b/>
                <w:szCs w:val="24"/>
              </w:rPr>
              <w:t>47 061,00</w:t>
            </w:r>
            <w:r w:rsidR="00123009" w:rsidRPr="00E02949">
              <w:t xml:space="preserve"> </w:t>
            </w:r>
            <w:proofErr w:type="spellStart"/>
            <w:r w:rsidRPr="00A91776">
              <w:rPr>
                <w:b/>
                <w:szCs w:val="24"/>
                <w:lang w:val="lt-LT"/>
              </w:rPr>
              <w:t>Eur</w:t>
            </w:r>
            <w:proofErr w:type="spellEnd"/>
            <w:r w:rsidRPr="00A91776">
              <w:rPr>
                <w:b/>
                <w:szCs w:val="24"/>
                <w:lang w:val="lt-LT"/>
              </w:rPr>
              <w:t>. Didžiausia galima parama vienam</w:t>
            </w:r>
            <w:r w:rsidR="00171B69">
              <w:rPr>
                <w:b/>
                <w:szCs w:val="24"/>
                <w:lang w:val="lt-LT"/>
              </w:rPr>
              <w:t xml:space="preserve"> vietos projektui įgyvendinti </w:t>
            </w:r>
            <w:r w:rsidR="00123009" w:rsidRPr="00123009">
              <w:rPr>
                <w:b/>
                <w:szCs w:val="24"/>
              </w:rPr>
              <w:t>47 061,00</w:t>
            </w:r>
            <w:r w:rsidR="00123009" w:rsidRPr="00E02949">
              <w:t xml:space="preserve"> </w:t>
            </w:r>
            <w:proofErr w:type="spellStart"/>
            <w:r w:rsidRPr="00A91776">
              <w:rPr>
                <w:b/>
                <w:szCs w:val="24"/>
                <w:lang w:val="lt-LT"/>
              </w:rPr>
              <w:t>Eur</w:t>
            </w:r>
            <w:proofErr w:type="spellEnd"/>
            <w:r w:rsidRPr="00A91776">
              <w:rPr>
                <w:b/>
                <w:szCs w:val="24"/>
                <w:lang w:val="lt-LT"/>
              </w:rPr>
              <w:t>.</w:t>
            </w:r>
          </w:p>
        </w:tc>
      </w:tr>
      <w:tr w:rsidR="00BC5976" w:rsidRPr="00A91776" w:rsidTr="00BC5976">
        <w:tc>
          <w:tcPr>
            <w:tcW w:w="3369" w:type="dxa"/>
            <w:vMerge/>
          </w:tcPr>
          <w:p w:rsidR="00BC5976" w:rsidRPr="00A91776" w:rsidRDefault="00BC5976" w:rsidP="00C67218">
            <w:pPr>
              <w:jc w:val="both"/>
              <w:rPr>
                <w:szCs w:val="24"/>
                <w:lang w:val="lt-LT"/>
              </w:rPr>
            </w:pPr>
          </w:p>
        </w:tc>
        <w:tc>
          <w:tcPr>
            <w:tcW w:w="6549" w:type="dxa"/>
          </w:tcPr>
          <w:p w:rsidR="00BC5976" w:rsidRPr="00A91776" w:rsidRDefault="00BC5976" w:rsidP="00C67218">
            <w:pPr>
              <w:jc w:val="both"/>
              <w:rPr>
                <w:b/>
                <w:szCs w:val="24"/>
                <w:lang w:val="lt-LT"/>
              </w:rPr>
            </w:pPr>
            <w:r w:rsidRPr="00A91776">
              <w:rPr>
                <w:b/>
                <w:szCs w:val="24"/>
                <w:lang w:val="lt-LT"/>
              </w:rPr>
              <w:t>Paramos vietos projektui</w:t>
            </w:r>
            <w:r w:rsidR="00123009">
              <w:rPr>
                <w:b/>
                <w:szCs w:val="24"/>
                <w:lang w:val="lt-LT"/>
              </w:rPr>
              <w:t xml:space="preserve"> įgyvendinti lyginamoji dalis 95</w:t>
            </w:r>
            <w:r w:rsidRPr="00A91776">
              <w:rPr>
                <w:b/>
                <w:szCs w:val="24"/>
                <w:lang w:val="lt-LT"/>
              </w:rPr>
              <w:t xml:space="preserve"> proc.</w:t>
            </w:r>
          </w:p>
        </w:tc>
      </w:tr>
      <w:tr w:rsidR="00BC5976" w:rsidRPr="00A91776" w:rsidTr="00383834">
        <w:trPr>
          <w:trHeight w:val="586"/>
        </w:trPr>
        <w:tc>
          <w:tcPr>
            <w:tcW w:w="3369" w:type="dxa"/>
            <w:vMerge/>
          </w:tcPr>
          <w:p w:rsidR="00BC5976" w:rsidRPr="00A91776" w:rsidRDefault="00BC5976" w:rsidP="00C67218">
            <w:pPr>
              <w:jc w:val="both"/>
              <w:rPr>
                <w:szCs w:val="24"/>
                <w:lang w:val="lt-LT"/>
              </w:rPr>
            </w:pPr>
          </w:p>
        </w:tc>
        <w:tc>
          <w:tcPr>
            <w:tcW w:w="6549" w:type="dxa"/>
          </w:tcPr>
          <w:p w:rsidR="00BC5976" w:rsidRPr="00A91776" w:rsidRDefault="00BC5976" w:rsidP="00C67218">
            <w:pPr>
              <w:jc w:val="both"/>
              <w:rPr>
                <w:szCs w:val="24"/>
                <w:lang w:val="lt-LT"/>
              </w:rPr>
            </w:pPr>
            <w:r w:rsidRPr="00A91776">
              <w:rPr>
                <w:b/>
                <w:szCs w:val="24"/>
                <w:lang w:val="lt-LT"/>
              </w:rPr>
              <w:t>Finansavimo šaltiniai:</w:t>
            </w:r>
            <w:r w:rsidRPr="00A91776">
              <w:rPr>
                <w:szCs w:val="24"/>
                <w:lang w:val="lt-LT"/>
              </w:rPr>
              <w:t xml:space="preserve"> EJRŽF ir Lietuvos Respublikos valstybės </w:t>
            </w:r>
          </w:p>
          <w:p w:rsidR="00BC5976" w:rsidRPr="00A91776" w:rsidRDefault="00BC5976" w:rsidP="00C67218">
            <w:pPr>
              <w:jc w:val="both"/>
              <w:rPr>
                <w:szCs w:val="24"/>
                <w:lang w:val="lt-LT"/>
              </w:rPr>
            </w:pPr>
            <w:r w:rsidRPr="00A91776">
              <w:rPr>
                <w:szCs w:val="24"/>
                <w:lang w:val="lt-LT"/>
              </w:rPr>
              <w:t>biudžeto lėšos.</w:t>
            </w:r>
          </w:p>
        </w:tc>
      </w:tr>
      <w:tr w:rsidR="00242297" w:rsidRPr="00A91776" w:rsidTr="002B19AF">
        <w:tc>
          <w:tcPr>
            <w:tcW w:w="3369" w:type="dxa"/>
            <w:vMerge w:val="restart"/>
            <w:vAlign w:val="center"/>
          </w:tcPr>
          <w:p w:rsidR="00F45B6D" w:rsidRPr="00A91776" w:rsidRDefault="00171B69" w:rsidP="00A957AF">
            <w:pPr>
              <w:jc w:val="both"/>
              <w:rPr>
                <w:b/>
                <w:szCs w:val="24"/>
                <w:lang w:val="lt-LT"/>
              </w:rPr>
            </w:pPr>
            <w:r w:rsidRPr="00A91776">
              <w:rPr>
                <w:b/>
                <w:szCs w:val="24"/>
                <w:lang w:val="lt-LT"/>
              </w:rPr>
              <w:t xml:space="preserve">VPS priemonė </w:t>
            </w:r>
            <w:r w:rsidRPr="00171B69">
              <w:rPr>
                <w:b/>
                <w:szCs w:val="24"/>
                <w:lang w:val="lt-LT"/>
              </w:rPr>
              <w:t>„</w:t>
            </w:r>
            <w:r w:rsidR="00A957AF" w:rsidRPr="00A957AF">
              <w:rPr>
                <w:b/>
                <w:szCs w:val="24"/>
                <w:lang w:val="lt-LT"/>
              </w:rPr>
              <w:t>Mažosios infrastruktūros, viešųjų erdvių pritaikymas žvejų bendruomenės ir turistų poreikiams</w:t>
            </w:r>
            <w:r w:rsidR="00A957AF">
              <w:rPr>
                <w:b/>
                <w:szCs w:val="24"/>
                <w:lang w:val="lt-LT"/>
              </w:rPr>
              <w:t>“, kodas BIVP</w:t>
            </w:r>
            <w:proofErr w:type="gramStart"/>
            <w:r w:rsidR="00A957AF">
              <w:rPr>
                <w:b/>
                <w:szCs w:val="24"/>
                <w:lang w:val="lt-LT"/>
              </w:rPr>
              <w:t>-</w:t>
            </w:r>
            <w:proofErr w:type="gramEnd"/>
            <w:r w:rsidR="00A957AF">
              <w:rPr>
                <w:b/>
                <w:szCs w:val="24"/>
                <w:lang w:val="lt-LT"/>
              </w:rPr>
              <w:t>AKVA-SAVA-2</w:t>
            </w:r>
          </w:p>
        </w:tc>
        <w:tc>
          <w:tcPr>
            <w:tcW w:w="6549" w:type="dxa"/>
          </w:tcPr>
          <w:p w:rsidR="00E5518C" w:rsidRPr="00A957AF" w:rsidRDefault="00242297" w:rsidP="00A957AF">
            <w:pPr>
              <w:suppressAutoHyphens/>
              <w:autoSpaceDE w:val="0"/>
              <w:autoSpaceDN w:val="0"/>
              <w:adjustRightInd w:val="0"/>
              <w:jc w:val="both"/>
              <w:textAlignment w:val="center"/>
              <w:rPr>
                <w:sz w:val="22"/>
              </w:rPr>
            </w:pPr>
            <w:r w:rsidRPr="00A91776">
              <w:rPr>
                <w:b/>
                <w:szCs w:val="24"/>
                <w:lang w:val="lt-LT"/>
              </w:rPr>
              <w:t>Remiamos veiklos:</w:t>
            </w:r>
            <w:r w:rsidR="00D56999" w:rsidRPr="00287E38">
              <w:rPr>
                <w:szCs w:val="24"/>
              </w:rPr>
              <w:t xml:space="preserve"> </w:t>
            </w:r>
            <w:r w:rsidR="00A957AF">
              <w:rPr>
                <w:szCs w:val="24"/>
                <w:lang w:val="lt-LT" w:eastAsia="lt-LT"/>
              </w:rPr>
              <w:t xml:space="preserve">investicijos </w:t>
            </w:r>
            <w:r w:rsidR="00A957AF" w:rsidRPr="00A957AF">
              <w:rPr>
                <w:szCs w:val="24"/>
                <w:lang w:val="lt-LT"/>
              </w:rPr>
              <w:t>viešojo naudojimo infrastruktūrai, susijusiai su laisvalaikio, poilsio, sporto, pažintine ir kultūrine, regiono pristatymo veikla, gerinti, atnaujinti, saugumui užtikrinti, aplinkai tvarkyti, viešųjų erdvių sutvarkymui bei jų pritaikymui gyventojų poreikiams, jaunimui patrauklių, naujoviškų laisvalaikio užimtumo galimybių sudarymas, įrengiant ar sutvarkant viešąsias erdves.</w:t>
            </w:r>
            <w:r w:rsidR="00A957AF" w:rsidRPr="008006A9">
              <w:rPr>
                <w:sz w:val="22"/>
              </w:rPr>
              <w:t> </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726AC3" w:rsidRPr="00A957AF" w:rsidRDefault="00242297" w:rsidP="00A957AF">
            <w:pPr>
              <w:jc w:val="both"/>
              <w:rPr>
                <w:sz w:val="22"/>
              </w:rPr>
            </w:pPr>
            <w:r w:rsidRPr="00A91776">
              <w:rPr>
                <w:rFonts w:eastAsia="Calibri"/>
                <w:b/>
                <w:szCs w:val="24"/>
                <w:lang w:val="lt-LT"/>
              </w:rPr>
              <w:t xml:space="preserve">Tinkami vietos projektų vykdytojai: </w:t>
            </w:r>
            <w:r w:rsidR="00A957AF" w:rsidRPr="00A957AF">
              <w:rPr>
                <w:szCs w:val="24"/>
                <w:lang w:val="lt-LT"/>
              </w:rPr>
              <w:t>Viešieji juridiniai asmenys: nevyriausybinė organizacija, bendruomeninė organizacija ar kita asociacija, viešoji įstaiga, kurių steigėjas nėra savivaldybė, savivaldybė, registruoti ir veikiantys Vakarų Lietuvos ŽRVVG teritorijoje.</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F45B6D" w:rsidRPr="00A91776" w:rsidRDefault="008A445D" w:rsidP="00A957AF">
            <w:pPr>
              <w:jc w:val="both"/>
              <w:rPr>
                <w:b/>
                <w:szCs w:val="24"/>
                <w:lang w:val="lt-LT"/>
              </w:rPr>
            </w:pPr>
            <w:r w:rsidRPr="00A91776">
              <w:rPr>
                <w:b/>
                <w:szCs w:val="24"/>
                <w:lang w:val="lt-LT"/>
              </w:rPr>
              <w:t>Kvietimui skiriama VPS paramo</w:t>
            </w:r>
            <w:r w:rsidR="00E5518C" w:rsidRPr="00A91776">
              <w:rPr>
                <w:b/>
                <w:szCs w:val="24"/>
                <w:lang w:val="lt-LT"/>
              </w:rPr>
              <w:t xml:space="preserve">s lėšų suma </w:t>
            </w:r>
            <w:r w:rsidR="00A957AF" w:rsidRPr="00A957AF">
              <w:rPr>
                <w:b/>
                <w:szCs w:val="24"/>
              </w:rPr>
              <w:t>37 318,00</w:t>
            </w:r>
            <w:r w:rsidR="00A957AF" w:rsidRPr="00CC7F08">
              <w:rPr>
                <w:sz w:val="22"/>
              </w:rPr>
              <w:t xml:space="preserve"> </w:t>
            </w:r>
            <w:proofErr w:type="spellStart"/>
            <w:r w:rsidRPr="00A91776">
              <w:rPr>
                <w:b/>
                <w:szCs w:val="24"/>
                <w:lang w:val="lt-LT"/>
              </w:rPr>
              <w:t>Eur</w:t>
            </w:r>
            <w:proofErr w:type="spellEnd"/>
            <w:r w:rsidR="008E599C" w:rsidRPr="00A91776">
              <w:rPr>
                <w:b/>
                <w:szCs w:val="24"/>
                <w:lang w:val="lt-LT"/>
              </w:rPr>
              <w:t>.</w:t>
            </w:r>
            <w:r w:rsidR="00E5518C" w:rsidRPr="00A91776">
              <w:rPr>
                <w:b/>
                <w:szCs w:val="24"/>
                <w:lang w:val="lt-LT"/>
              </w:rPr>
              <w:t xml:space="preserve"> D</w:t>
            </w:r>
            <w:r w:rsidRPr="00A91776">
              <w:rPr>
                <w:b/>
                <w:szCs w:val="24"/>
                <w:lang w:val="lt-LT"/>
              </w:rPr>
              <w:t>idžiausia galima parama vienam vietos projektui įgy</w:t>
            </w:r>
            <w:r w:rsidR="00E5518C" w:rsidRPr="00A91776">
              <w:rPr>
                <w:b/>
                <w:szCs w:val="24"/>
                <w:lang w:val="lt-LT"/>
              </w:rPr>
              <w:t xml:space="preserve">vendinti </w:t>
            </w:r>
            <w:r w:rsidR="00A957AF" w:rsidRPr="00A957AF">
              <w:rPr>
                <w:b/>
                <w:szCs w:val="24"/>
              </w:rPr>
              <w:t>18 659,00</w:t>
            </w:r>
            <w:r w:rsidRPr="00A91776">
              <w:rPr>
                <w:b/>
                <w:szCs w:val="24"/>
                <w:lang w:val="lt-LT"/>
              </w:rPr>
              <w:t xml:space="preserve"> </w:t>
            </w:r>
            <w:proofErr w:type="spellStart"/>
            <w:r w:rsidRPr="00A91776">
              <w:rPr>
                <w:b/>
                <w:szCs w:val="24"/>
                <w:lang w:val="lt-LT"/>
              </w:rPr>
              <w:t>Eur</w:t>
            </w:r>
            <w:proofErr w:type="spellEnd"/>
            <w:r w:rsidR="008E599C" w:rsidRPr="00A91776">
              <w:rPr>
                <w:b/>
                <w:szCs w:val="24"/>
                <w:lang w:val="lt-LT"/>
              </w:rPr>
              <w:t>.</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F45B6D" w:rsidRPr="00A91776" w:rsidRDefault="008A445D" w:rsidP="00A957AF">
            <w:pPr>
              <w:jc w:val="both"/>
              <w:rPr>
                <w:b/>
                <w:szCs w:val="24"/>
                <w:lang w:val="lt-LT"/>
              </w:rPr>
            </w:pPr>
            <w:r w:rsidRPr="00A91776">
              <w:rPr>
                <w:b/>
                <w:szCs w:val="24"/>
                <w:lang w:val="lt-LT"/>
              </w:rPr>
              <w:t>Paramos vietos projektui įgy</w:t>
            </w:r>
            <w:r w:rsidR="00726AC3" w:rsidRPr="00A91776">
              <w:rPr>
                <w:b/>
                <w:szCs w:val="24"/>
                <w:lang w:val="lt-LT"/>
              </w:rPr>
              <w:t xml:space="preserve">vendinti lyginamoji dalis </w:t>
            </w:r>
            <w:r w:rsidR="00A957AF">
              <w:rPr>
                <w:b/>
                <w:szCs w:val="24"/>
                <w:lang w:val="lt-LT"/>
              </w:rPr>
              <w:t>95 proc.</w:t>
            </w:r>
            <w:r w:rsidR="005F579B">
              <w:rPr>
                <w:b/>
                <w:szCs w:val="24"/>
                <w:lang w:val="lt-LT"/>
              </w:rPr>
              <w:t xml:space="preserve"> </w:t>
            </w:r>
          </w:p>
        </w:tc>
      </w:tr>
      <w:tr w:rsidR="005C4E1A" w:rsidRPr="00A91776" w:rsidTr="005F579B">
        <w:trPr>
          <w:trHeight w:val="627"/>
        </w:trPr>
        <w:tc>
          <w:tcPr>
            <w:tcW w:w="3369" w:type="dxa"/>
            <w:vMerge/>
          </w:tcPr>
          <w:p w:rsidR="005C4E1A" w:rsidRPr="00A91776" w:rsidRDefault="005C4E1A" w:rsidP="0065482F">
            <w:pPr>
              <w:jc w:val="both"/>
              <w:rPr>
                <w:szCs w:val="24"/>
                <w:lang w:val="lt-LT"/>
              </w:rPr>
            </w:pPr>
          </w:p>
        </w:tc>
        <w:tc>
          <w:tcPr>
            <w:tcW w:w="6549" w:type="dxa"/>
          </w:tcPr>
          <w:p w:rsidR="005C4E1A" w:rsidRPr="00A91776" w:rsidRDefault="005C4E1A" w:rsidP="00DF7243">
            <w:pPr>
              <w:jc w:val="both"/>
              <w:rPr>
                <w:i/>
                <w:szCs w:val="24"/>
                <w:lang w:val="lt-LT"/>
              </w:rPr>
            </w:pPr>
            <w:r w:rsidRPr="00A91776">
              <w:rPr>
                <w:b/>
                <w:szCs w:val="24"/>
                <w:lang w:val="lt-LT"/>
              </w:rPr>
              <w:t>Finansavimo šaltiniai:</w:t>
            </w:r>
            <w:r w:rsidRPr="00A91776">
              <w:rPr>
                <w:szCs w:val="24"/>
                <w:lang w:val="lt-LT"/>
              </w:rPr>
              <w:t xml:space="preserve"> EJRŽF ir Lietuvos Respu</w:t>
            </w:r>
            <w:r w:rsidR="00DF7243" w:rsidRPr="00A91776">
              <w:rPr>
                <w:szCs w:val="24"/>
                <w:lang w:val="lt-LT"/>
              </w:rPr>
              <w:t>blikos valstybės biudžeto lėšos</w:t>
            </w:r>
            <w:r w:rsidR="00E5518C" w:rsidRPr="00A91776">
              <w:rPr>
                <w:szCs w:val="24"/>
                <w:lang w:val="lt-LT"/>
              </w:rPr>
              <w:t>.</w:t>
            </w:r>
          </w:p>
        </w:tc>
      </w:tr>
    </w:tbl>
    <w:p w:rsidR="00FF148D" w:rsidRPr="00AF58F3" w:rsidRDefault="00FF148D" w:rsidP="00FF148D">
      <w:pPr>
        <w:spacing w:after="0" w:line="240" w:lineRule="auto"/>
        <w:ind w:firstLine="567"/>
        <w:jc w:val="both"/>
        <w:rPr>
          <w:lang w:val="lt-LT"/>
        </w:rPr>
      </w:pPr>
    </w:p>
    <w:p w:rsidR="004E423F" w:rsidRPr="00AF58F3" w:rsidRDefault="004E423F" w:rsidP="004E423F">
      <w:pPr>
        <w:spacing w:after="0" w:line="240" w:lineRule="auto"/>
        <w:ind w:firstLine="567"/>
        <w:jc w:val="both"/>
        <w:rPr>
          <w:lang w:val="lt-LT"/>
        </w:rPr>
      </w:pPr>
      <w:r w:rsidRPr="0050573F">
        <w:rPr>
          <w:lang w:val="lt-LT"/>
        </w:rPr>
        <w:t>Bendra kvietimo teikti vietos projektus suma</w:t>
      </w:r>
      <w:r w:rsidR="00123009">
        <w:rPr>
          <w:lang w:val="lt-LT"/>
        </w:rPr>
        <w:t xml:space="preserve"> 84 379,00</w:t>
      </w:r>
      <w:r w:rsidRPr="0050573F">
        <w:rPr>
          <w:lang w:val="lt-LT"/>
        </w:rPr>
        <w:t xml:space="preserve"> </w:t>
      </w:r>
      <w:proofErr w:type="spellStart"/>
      <w:r w:rsidRPr="0050573F">
        <w:rPr>
          <w:lang w:val="lt-LT"/>
        </w:rPr>
        <w:t>Eur</w:t>
      </w:r>
      <w:proofErr w:type="spellEnd"/>
      <w:r w:rsidRPr="0050573F">
        <w:rPr>
          <w:lang w:val="lt-LT"/>
        </w:rPr>
        <w:t xml:space="preserve"> iš EJRŽF ir Lietuvos Respublikos valstybės biudžeto lėšų. Iš jų:</w:t>
      </w:r>
      <w:r w:rsidR="00123009">
        <w:rPr>
          <w:lang w:val="lt-LT"/>
        </w:rPr>
        <w:t xml:space="preserve"> 71 722,15</w:t>
      </w:r>
      <w:r>
        <w:rPr>
          <w:lang w:val="lt-LT"/>
        </w:rPr>
        <w:t xml:space="preserve"> </w:t>
      </w:r>
      <w:proofErr w:type="spellStart"/>
      <w:r w:rsidRPr="0050573F">
        <w:rPr>
          <w:lang w:val="lt-LT"/>
        </w:rPr>
        <w:t>Eur</w:t>
      </w:r>
      <w:proofErr w:type="spellEnd"/>
      <w:r w:rsidRPr="0050573F">
        <w:rPr>
          <w:lang w:val="lt-LT"/>
        </w:rPr>
        <w:t xml:space="preserve"> EJRŽF lėšos.</w:t>
      </w:r>
    </w:p>
    <w:p w:rsidR="004E423F" w:rsidRPr="00AF58F3" w:rsidRDefault="004E423F" w:rsidP="004E423F">
      <w:pPr>
        <w:spacing w:before="120" w:after="120" w:line="240" w:lineRule="auto"/>
        <w:ind w:firstLine="567"/>
        <w:jc w:val="both"/>
        <w:rPr>
          <w:lang w:val="lt-LT"/>
        </w:rPr>
      </w:pPr>
      <w:r w:rsidRPr="00AF58F3">
        <w:rPr>
          <w:lang w:val="lt-LT"/>
        </w:rPr>
        <w:t>Vietos proj</w:t>
      </w:r>
      <w:r>
        <w:rPr>
          <w:lang w:val="lt-LT"/>
        </w:rPr>
        <w:t>ektų finansavimo sąlygų aprašai</w:t>
      </w:r>
      <w:r w:rsidR="001C1F9E">
        <w:rPr>
          <w:lang w:val="lt-LT"/>
        </w:rPr>
        <w:t xml:space="preserve"> </w:t>
      </w:r>
      <w:r>
        <w:rPr>
          <w:lang w:val="lt-LT"/>
        </w:rPr>
        <w:t>(toliau – FSA)</w:t>
      </w:r>
      <w:r w:rsidRPr="00AF58F3">
        <w:rPr>
          <w:lang w:val="lt-LT"/>
        </w:rPr>
        <w:t xml:space="preserve"> skelbiam</w:t>
      </w:r>
      <w:r>
        <w:rPr>
          <w:lang w:val="lt-LT"/>
        </w:rPr>
        <w:t>i interneto svetainėje</w:t>
      </w:r>
      <w:r>
        <w:t xml:space="preserve"> </w:t>
      </w:r>
      <w:r w:rsidRPr="005F579B">
        <w:rPr>
          <w:color w:val="2E74B5" w:themeColor="accent1" w:themeShade="BF"/>
        </w:rPr>
        <w:t>http://www.vakaruzvvg.lt/informacija-pareiskejams/</w:t>
      </w:r>
      <w:r w:rsidRPr="005F579B">
        <w:rPr>
          <w:lang w:val="lt-LT"/>
        </w:rPr>
        <w:t>,</w:t>
      </w:r>
      <w:r w:rsidRPr="005F579B">
        <w:rPr>
          <w:color w:val="2E74B5" w:themeColor="accent1" w:themeShade="BF"/>
          <w:lang w:val="lt-LT"/>
        </w:rPr>
        <w:t xml:space="preserve"> </w:t>
      </w:r>
      <w:r w:rsidRPr="00AF58F3">
        <w:rPr>
          <w:lang w:val="lt-LT"/>
        </w:rPr>
        <w:t>taip pat</w:t>
      </w:r>
      <w:r>
        <w:rPr>
          <w:lang w:val="lt-LT"/>
        </w:rPr>
        <w:t xml:space="preserve"> FSA popieriniai variantai prieinami Vakarų Lietuvos </w:t>
      </w:r>
      <w:r w:rsidRPr="00AF58F3">
        <w:rPr>
          <w:lang w:val="lt-LT"/>
        </w:rPr>
        <w:t>ŽRVVG būstinėje</w:t>
      </w:r>
      <w:r>
        <w:rPr>
          <w:lang w:val="lt-LT"/>
        </w:rPr>
        <w:t xml:space="preserve"> adresu: </w:t>
      </w:r>
      <w:r w:rsidRPr="007865B3">
        <w:rPr>
          <w:lang w:val="lt-LT"/>
        </w:rPr>
        <w:t>Dzūkų g. 5, LT 96240, Dreverna, Klaipėdos rajonas.</w:t>
      </w:r>
    </w:p>
    <w:p w:rsidR="004E423F" w:rsidRDefault="004E423F" w:rsidP="004E423F">
      <w:pPr>
        <w:spacing w:before="120" w:after="120" w:line="240" w:lineRule="auto"/>
        <w:ind w:firstLine="567"/>
        <w:jc w:val="both"/>
        <w:rPr>
          <w:lang w:val="lt-LT"/>
        </w:rPr>
      </w:pPr>
      <w:r w:rsidRPr="00AF58F3">
        <w:rPr>
          <w:lang w:val="lt-LT"/>
        </w:rPr>
        <w:t xml:space="preserve">Kvietimas teikti </w:t>
      </w:r>
      <w:r>
        <w:rPr>
          <w:lang w:val="lt-LT"/>
        </w:rPr>
        <w:t>vietos projek</w:t>
      </w:r>
      <w:r w:rsidR="00123009">
        <w:rPr>
          <w:lang w:val="lt-LT"/>
        </w:rPr>
        <w:t>tus galioja nuo 2018 m. lapkričio 10</w:t>
      </w:r>
      <w:r>
        <w:rPr>
          <w:lang w:val="lt-LT"/>
        </w:rPr>
        <w:t xml:space="preserve"> d., 8.00 val. </w:t>
      </w:r>
      <w:r w:rsidRPr="00AF58F3">
        <w:rPr>
          <w:lang w:val="lt-LT"/>
        </w:rPr>
        <w:t>iki</w:t>
      </w:r>
      <w:r w:rsidR="00123009">
        <w:rPr>
          <w:lang w:val="lt-LT"/>
        </w:rPr>
        <w:t xml:space="preserve"> 2018 m. gruodžio 15 d., 15.45</w:t>
      </w:r>
      <w:bookmarkStart w:id="0" w:name="_GoBack"/>
      <w:bookmarkEnd w:id="0"/>
      <w:r>
        <w:rPr>
          <w:lang w:val="lt-LT"/>
        </w:rPr>
        <w:t xml:space="preserve"> val.</w:t>
      </w:r>
    </w:p>
    <w:p w:rsidR="004E423F" w:rsidRPr="00A84A4F" w:rsidRDefault="004E423F" w:rsidP="004E423F">
      <w:pPr>
        <w:spacing w:before="120" w:after="120" w:line="240" w:lineRule="auto"/>
        <w:ind w:firstLine="567"/>
        <w:jc w:val="both"/>
        <w:rPr>
          <w:szCs w:val="24"/>
          <w:lang w:val="lt-LT"/>
        </w:rPr>
      </w:pPr>
      <w:r w:rsidRPr="00A84A4F">
        <w:rPr>
          <w:szCs w:val="24"/>
          <w:lang w:val="lt-LT"/>
        </w:rPr>
        <w:t xml:space="preserve">Vietos projektų paraiškos priimamos </w:t>
      </w:r>
      <w:r w:rsidRPr="00A84A4F">
        <w:rPr>
          <w:color w:val="000000"/>
          <w:szCs w:val="24"/>
          <w:lang w:val="lt-LT"/>
        </w:rPr>
        <w:t xml:space="preserve">adresu: </w:t>
      </w:r>
      <w:r w:rsidRPr="00E72A99">
        <w:rPr>
          <w:szCs w:val="24"/>
          <w:lang w:val="lt-LT"/>
        </w:rPr>
        <w:t xml:space="preserve">Dzūkų g. 5, LT 96240, Dreverna, Klaipėdos rajonas. </w:t>
      </w:r>
      <w:r w:rsidRPr="00E72A99">
        <w:rPr>
          <w:rFonts w:eastAsia="Calibri"/>
          <w:szCs w:val="24"/>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rsidR="004E423F" w:rsidRPr="00E72A99" w:rsidRDefault="004E423F" w:rsidP="004E423F">
      <w:pPr>
        <w:spacing w:before="120" w:after="120" w:line="240" w:lineRule="auto"/>
        <w:ind w:firstLine="567"/>
        <w:jc w:val="both"/>
        <w:rPr>
          <w:szCs w:val="24"/>
          <w:lang w:val="lt-LT"/>
        </w:rPr>
      </w:pPr>
      <w:r w:rsidRPr="00E72A99">
        <w:rPr>
          <w:szCs w:val="24"/>
          <w:lang w:val="lt-LT"/>
        </w:rPr>
        <w:t xml:space="preserve">Vietos projektų paraiškos, pateiktos kitu būdu (pvz., paštu, per kurjerį) nei nurodyta skelbime, yra laikomos pateiktomis netinkamai ir negali būti registruojamos. </w:t>
      </w:r>
    </w:p>
    <w:p w:rsidR="004E423F" w:rsidRPr="00A84A4F" w:rsidRDefault="004E423F" w:rsidP="004E423F">
      <w:pPr>
        <w:spacing w:before="120" w:after="120" w:line="240" w:lineRule="auto"/>
        <w:ind w:firstLine="567"/>
        <w:jc w:val="both"/>
        <w:rPr>
          <w:szCs w:val="24"/>
          <w:lang w:val="lt-LT"/>
        </w:rPr>
      </w:pPr>
      <w:r w:rsidRPr="00E72A99">
        <w:rPr>
          <w:rStyle w:val="tl8wme"/>
          <w:rFonts w:cs="Times New Roman"/>
          <w:szCs w:val="24"/>
          <w:lang w:val="lt-LT"/>
        </w:rPr>
        <w:t>Per vieną konkrečios VPS priemonės paramos paraiškų priėmimo laikotarpį vietos projekto paraiškos teikėjas gali pateikti vieną vietos projekto paraišką.</w:t>
      </w:r>
    </w:p>
    <w:p w:rsidR="004E423F" w:rsidRPr="00DC798A" w:rsidRDefault="004E423F" w:rsidP="004E423F">
      <w:pPr>
        <w:spacing w:after="0" w:line="240" w:lineRule="auto"/>
        <w:ind w:firstLine="547"/>
        <w:jc w:val="both"/>
        <w:rPr>
          <w:szCs w:val="24"/>
          <w:lang w:val="lt-LT"/>
        </w:rPr>
      </w:pPr>
      <w:r w:rsidRPr="00AF58F3">
        <w:rPr>
          <w:lang w:val="lt-LT"/>
        </w:rPr>
        <w:t>Informacija apie kvietimą teikti vietos projektus ir vietos projektų įgyvendinimą te</w:t>
      </w:r>
      <w:r>
        <w:rPr>
          <w:lang w:val="lt-LT"/>
        </w:rPr>
        <w:t xml:space="preserve">ikiama darbo dienomis nuo </w:t>
      </w:r>
      <w:r w:rsidRPr="006C45A0">
        <w:rPr>
          <w:rStyle w:val="tl8wme"/>
          <w:rFonts w:cs="Times New Roman"/>
          <w:sz w:val="22"/>
          <w:lang w:val="lt-LT"/>
        </w:rPr>
        <w:t>8.00 val. iki 1</w:t>
      </w:r>
      <w:r>
        <w:rPr>
          <w:rStyle w:val="tl8wme"/>
          <w:rFonts w:cs="Times New Roman"/>
          <w:sz w:val="22"/>
          <w:lang w:val="lt-LT"/>
        </w:rPr>
        <w:t>7</w:t>
      </w:r>
      <w:r w:rsidRPr="006C45A0">
        <w:rPr>
          <w:rStyle w:val="tl8wme"/>
          <w:rFonts w:cs="Times New Roman"/>
          <w:sz w:val="22"/>
          <w:lang w:val="lt-LT"/>
        </w:rPr>
        <w:t xml:space="preserve">.00 val. </w:t>
      </w:r>
      <w:r>
        <w:rPr>
          <w:lang w:val="lt-LT"/>
        </w:rPr>
        <w:t>Vakarų Lietuvos ŽRVVG administracijos patalpose adresu:</w:t>
      </w:r>
      <w:r w:rsidRPr="00BE18F9">
        <w:rPr>
          <w:lang w:val="lt-LT"/>
        </w:rPr>
        <w:t xml:space="preserve"> </w:t>
      </w:r>
      <w:r w:rsidRPr="007865B3">
        <w:rPr>
          <w:lang w:val="lt-LT"/>
        </w:rPr>
        <w:t>Dzūkų g. 5, LT 962</w:t>
      </w:r>
      <w:r>
        <w:rPr>
          <w:lang w:val="lt-LT"/>
        </w:rPr>
        <w:t xml:space="preserve">40, Dreverna, Klaipėdos rajonas, elektroniniu paštu: </w:t>
      </w:r>
      <w:hyperlink r:id="rId9" w:history="1">
        <w:r w:rsidRPr="00B0017A">
          <w:rPr>
            <w:rStyle w:val="Hipersaitas"/>
            <w:rFonts w:cs="Times New Roman"/>
            <w:szCs w:val="24"/>
            <w:shd w:val="clear" w:color="auto" w:fill="FFFFFF"/>
          </w:rPr>
          <w:t>vakarulietuvoszvvg@gmail.com</w:t>
        </w:r>
      </w:hyperlink>
      <w:r>
        <w:rPr>
          <w:rFonts w:cs="Times New Roman"/>
          <w:color w:val="666666"/>
          <w:szCs w:val="24"/>
          <w:shd w:val="clear" w:color="auto" w:fill="FFFFFF"/>
        </w:rPr>
        <w:t xml:space="preserve"> </w:t>
      </w:r>
      <w:r w:rsidRPr="00E72A99">
        <w:rPr>
          <w:rFonts w:cs="Times New Roman"/>
          <w:color w:val="666666"/>
          <w:szCs w:val="24"/>
          <w:shd w:val="clear" w:color="auto" w:fill="FFFFFF"/>
          <w:lang w:val="lt-LT"/>
        </w:rPr>
        <w:t>ir telefonu:</w:t>
      </w:r>
      <w:r>
        <w:rPr>
          <w:rFonts w:cs="Times New Roman"/>
          <w:color w:val="666666"/>
          <w:szCs w:val="24"/>
          <w:shd w:val="clear" w:color="auto" w:fill="FFFFFF"/>
        </w:rPr>
        <w:t xml:space="preserve"> </w:t>
      </w:r>
      <w:r>
        <w:rPr>
          <w:szCs w:val="24"/>
          <w:lang w:val="lt-LT"/>
        </w:rPr>
        <w:t>(+370 640 41633).</w:t>
      </w:r>
    </w:p>
    <w:p w:rsidR="006276AF" w:rsidRPr="00DC798A" w:rsidRDefault="006276AF" w:rsidP="00DC798A">
      <w:pPr>
        <w:spacing w:after="0" w:line="240" w:lineRule="auto"/>
        <w:ind w:firstLine="547"/>
        <w:jc w:val="both"/>
        <w:rPr>
          <w:szCs w:val="24"/>
          <w:lang w:val="lt-LT"/>
        </w:rPr>
      </w:pPr>
    </w:p>
    <w:sectPr w:rsidR="006276AF" w:rsidRPr="00DC798A" w:rsidSect="0050573F">
      <w:headerReference w:type="default" r:id="rId10"/>
      <w:footerReference w:type="firs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AB" w:rsidRDefault="006205AB" w:rsidP="00BB2C73">
      <w:pPr>
        <w:spacing w:after="0" w:line="240" w:lineRule="auto"/>
      </w:pPr>
      <w:r>
        <w:separator/>
      </w:r>
    </w:p>
  </w:endnote>
  <w:endnote w:type="continuationSeparator" w:id="0">
    <w:p w:rsidR="006205AB" w:rsidRDefault="006205A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5E" w:rsidRDefault="00077C5E" w:rsidP="00077C5E">
    <w:pPr>
      <w:pStyle w:val="Porat"/>
      <w:jc w:val="right"/>
    </w:pPr>
  </w:p>
  <w:p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AB" w:rsidRDefault="006205AB" w:rsidP="00BB2C73">
      <w:pPr>
        <w:spacing w:after="0" w:line="240" w:lineRule="auto"/>
      </w:pPr>
      <w:r>
        <w:separator/>
      </w:r>
    </w:p>
  </w:footnote>
  <w:footnote w:type="continuationSeparator" w:id="0">
    <w:p w:rsidR="006205AB" w:rsidRDefault="006205A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4239"/>
      <w:docPartObj>
        <w:docPartGallery w:val="Page Numbers (Top of Page)"/>
        <w:docPartUnique/>
      </w:docPartObj>
    </w:sdtPr>
    <w:sdtEndPr/>
    <w:sdtContent>
      <w:p w:rsidR="00BB2C73" w:rsidRDefault="00230CD1">
        <w:pPr>
          <w:pStyle w:val="Antrats"/>
          <w:jc w:val="center"/>
        </w:pPr>
        <w:r>
          <w:fldChar w:fldCharType="begin"/>
        </w:r>
        <w:r w:rsidR="00BB2C73">
          <w:instrText>PAGE   \* MERGEFORMAT</w:instrText>
        </w:r>
        <w:r>
          <w:fldChar w:fldCharType="separate"/>
        </w:r>
        <w:r w:rsidR="00123009" w:rsidRPr="00123009">
          <w:rPr>
            <w:noProof/>
            <w:lang w:val="lt-LT"/>
          </w:rPr>
          <w:t>2</w:t>
        </w:r>
        <w:r>
          <w:fldChar w:fldCharType="end"/>
        </w:r>
      </w:p>
    </w:sdtContent>
  </w:sdt>
  <w:p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6D01"/>
    <w:rsid w:val="000076B1"/>
    <w:rsid w:val="00016159"/>
    <w:rsid w:val="00022042"/>
    <w:rsid w:val="00022108"/>
    <w:rsid w:val="0005283B"/>
    <w:rsid w:val="000541E4"/>
    <w:rsid w:val="00077C5E"/>
    <w:rsid w:val="000B0628"/>
    <w:rsid w:val="000E2E4E"/>
    <w:rsid w:val="00106EF3"/>
    <w:rsid w:val="00111E1F"/>
    <w:rsid w:val="00123009"/>
    <w:rsid w:val="0014108A"/>
    <w:rsid w:val="00171B69"/>
    <w:rsid w:val="00180F95"/>
    <w:rsid w:val="001B7A93"/>
    <w:rsid w:val="001C1F9E"/>
    <w:rsid w:val="001C3A92"/>
    <w:rsid w:val="001D50A0"/>
    <w:rsid w:val="001E5CA8"/>
    <w:rsid w:val="001F159E"/>
    <w:rsid w:val="001F3C12"/>
    <w:rsid w:val="002034B1"/>
    <w:rsid w:val="00230CD1"/>
    <w:rsid w:val="002374B2"/>
    <w:rsid w:val="00242297"/>
    <w:rsid w:val="00256193"/>
    <w:rsid w:val="00256D17"/>
    <w:rsid w:val="0027763F"/>
    <w:rsid w:val="00287AAA"/>
    <w:rsid w:val="00287E38"/>
    <w:rsid w:val="002B19AF"/>
    <w:rsid w:val="002B651E"/>
    <w:rsid w:val="002D30B0"/>
    <w:rsid w:val="002F0467"/>
    <w:rsid w:val="00304BCA"/>
    <w:rsid w:val="00324241"/>
    <w:rsid w:val="00336817"/>
    <w:rsid w:val="00344311"/>
    <w:rsid w:val="003645AD"/>
    <w:rsid w:val="003652C2"/>
    <w:rsid w:val="00383834"/>
    <w:rsid w:val="00385143"/>
    <w:rsid w:val="00421CC6"/>
    <w:rsid w:val="00433475"/>
    <w:rsid w:val="00467490"/>
    <w:rsid w:val="00475945"/>
    <w:rsid w:val="00476BF2"/>
    <w:rsid w:val="004D3E16"/>
    <w:rsid w:val="004E423F"/>
    <w:rsid w:val="0050573F"/>
    <w:rsid w:val="00524F52"/>
    <w:rsid w:val="005330E2"/>
    <w:rsid w:val="00536758"/>
    <w:rsid w:val="0057781A"/>
    <w:rsid w:val="005A38F3"/>
    <w:rsid w:val="005C4E1A"/>
    <w:rsid w:val="005C70A8"/>
    <w:rsid w:val="005F1842"/>
    <w:rsid w:val="005F2AC1"/>
    <w:rsid w:val="005F5464"/>
    <w:rsid w:val="005F579B"/>
    <w:rsid w:val="0061663A"/>
    <w:rsid w:val="006205AB"/>
    <w:rsid w:val="00625762"/>
    <w:rsid w:val="006276AF"/>
    <w:rsid w:val="00632CB2"/>
    <w:rsid w:val="00634174"/>
    <w:rsid w:val="006436C4"/>
    <w:rsid w:val="006457DB"/>
    <w:rsid w:val="0065482F"/>
    <w:rsid w:val="00682B22"/>
    <w:rsid w:val="006A6D79"/>
    <w:rsid w:val="006D3A93"/>
    <w:rsid w:val="006D4F4D"/>
    <w:rsid w:val="006F6FEC"/>
    <w:rsid w:val="00703817"/>
    <w:rsid w:val="00707218"/>
    <w:rsid w:val="00717906"/>
    <w:rsid w:val="00726AC3"/>
    <w:rsid w:val="007616E9"/>
    <w:rsid w:val="00772CCB"/>
    <w:rsid w:val="007865B3"/>
    <w:rsid w:val="007A0F2E"/>
    <w:rsid w:val="007A6288"/>
    <w:rsid w:val="007B792B"/>
    <w:rsid w:val="007C1821"/>
    <w:rsid w:val="0080427B"/>
    <w:rsid w:val="008044CD"/>
    <w:rsid w:val="008133B1"/>
    <w:rsid w:val="00815962"/>
    <w:rsid w:val="00837CAA"/>
    <w:rsid w:val="00844395"/>
    <w:rsid w:val="00853AC3"/>
    <w:rsid w:val="008851CD"/>
    <w:rsid w:val="008A3921"/>
    <w:rsid w:val="008A445D"/>
    <w:rsid w:val="008B2639"/>
    <w:rsid w:val="008E4806"/>
    <w:rsid w:val="008E599C"/>
    <w:rsid w:val="00925BB6"/>
    <w:rsid w:val="00941525"/>
    <w:rsid w:val="0094200E"/>
    <w:rsid w:val="0094741F"/>
    <w:rsid w:val="00955951"/>
    <w:rsid w:val="0095719B"/>
    <w:rsid w:val="009B2298"/>
    <w:rsid w:val="00A01DF6"/>
    <w:rsid w:val="00A149B3"/>
    <w:rsid w:val="00A55A8D"/>
    <w:rsid w:val="00A87F30"/>
    <w:rsid w:val="00A91776"/>
    <w:rsid w:val="00A957AF"/>
    <w:rsid w:val="00AA3035"/>
    <w:rsid w:val="00AB06E5"/>
    <w:rsid w:val="00AB5501"/>
    <w:rsid w:val="00AD4CA8"/>
    <w:rsid w:val="00AF58F3"/>
    <w:rsid w:val="00B059BB"/>
    <w:rsid w:val="00B20B6D"/>
    <w:rsid w:val="00B53657"/>
    <w:rsid w:val="00B71B79"/>
    <w:rsid w:val="00BB2C73"/>
    <w:rsid w:val="00BC5976"/>
    <w:rsid w:val="00BD153C"/>
    <w:rsid w:val="00BD2AA5"/>
    <w:rsid w:val="00BD3D3D"/>
    <w:rsid w:val="00BF06FD"/>
    <w:rsid w:val="00BF3B05"/>
    <w:rsid w:val="00C01E1E"/>
    <w:rsid w:val="00C17F10"/>
    <w:rsid w:val="00C366A4"/>
    <w:rsid w:val="00C52988"/>
    <w:rsid w:val="00C539F5"/>
    <w:rsid w:val="00C604D3"/>
    <w:rsid w:val="00C673CA"/>
    <w:rsid w:val="00CA0AEA"/>
    <w:rsid w:val="00CA73DE"/>
    <w:rsid w:val="00CB70BA"/>
    <w:rsid w:val="00CF23C6"/>
    <w:rsid w:val="00CF6F98"/>
    <w:rsid w:val="00D06918"/>
    <w:rsid w:val="00D348E1"/>
    <w:rsid w:val="00D52769"/>
    <w:rsid w:val="00D540E2"/>
    <w:rsid w:val="00D56999"/>
    <w:rsid w:val="00D736F1"/>
    <w:rsid w:val="00D74209"/>
    <w:rsid w:val="00D766D2"/>
    <w:rsid w:val="00DB03C9"/>
    <w:rsid w:val="00DC1561"/>
    <w:rsid w:val="00DC798A"/>
    <w:rsid w:val="00DD439D"/>
    <w:rsid w:val="00DE614E"/>
    <w:rsid w:val="00DF3C47"/>
    <w:rsid w:val="00DF7243"/>
    <w:rsid w:val="00DF7F1B"/>
    <w:rsid w:val="00E37D9C"/>
    <w:rsid w:val="00E44A8B"/>
    <w:rsid w:val="00E5518C"/>
    <w:rsid w:val="00EA3A61"/>
    <w:rsid w:val="00EA63C9"/>
    <w:rsid w:val="00EB268C"/>
    <w:rsid w:val="00EE2D52"/>
    <w:rsid w:val="00F171DC"/>
    <w:rsid w:val="00F435F2"/>
    <w:rsid w:val="00F45B6D"/>
    <w:rsid w:val="00F55DEC"/>
    <w:rsid w:val="00F57D4F"/>
    <w:rsid w:val="00F603C5"/>
    <w:rsid w:val="00F771E1"/>
    <w:rsid w:val="00F91FE6"/>
    <w:rsid w:val="00FD4971"/>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D397"/>
  <w15:docId w15:val="{70B3BB6C-D4F8-43CB-A760-EB7679F7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0C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character" w:styleId="Hipersaitas">
    <w:name w:val="Hyperlink"/>
    <w:basedOn w:val="Numatytasispastraiposriftas"/>
    <w:uiPriority w:val="99"/>
    <w:unhideWhenUsed/>
    <w:rsid w:val="0095719B"/>
    <w:rPr>
      <w:color w:val="0563C1" w:themeColor="hyperlink"/>
      <w:u w:val="single"/>
    </w:rPr>
  </w:style>
  <w:style w:type="character" w:customStyle="1" w:styleId="UnresolvedMention">
    <w:name w:val="Unresolved Mention"/>
    <w:basedOn w:val="Numatytasispastraiposriftas"/>
    <w:uiPriority w:val="99"/>
    <w:semiHidden/>
    <w:unhideWhenUsed/>
    <w:rsid w:val="00433475"/>
    <w:rPr>
      <w:color w:val="808080"/>
      <w:shd w:val="clear" w:color="auto" w:fill="E6E6E6"/>
    </w:rPr>
  </w:style>
  <w:style w:type="character" w:customStyle="1" w:styleId="st">
    <w:name w:val="st"/>
    <w:basedOn w:val="Numatytasispastraiposriftas"/>
    <w:rsid w:val="008044CD"/>
  </w:style>
  <w:style w:type="character" w:customStyle="1" w:styleId="tl8wme">
    <w:name w:val="tl8wme"/>
    <w:basedOn w:val="Numatytasispastraiposriftas"/>
    <w:rsid w:val="004E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karulietuvosz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1B8A7F3-608D-475B-A658-524486F3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2891</Words>
  <Characters>1649</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Egidijus Narevičius</cp:lastModifiedBy>
  <cp:revision>3</cp:revision>
  <dcterms:created xsi:type="dcterms:W3CDTF">2018-10-15T12:58:00Z</dcterms:created>
  <dcterms:modified xsi:type="dcterms:W3CDTF">2018-10-15T13:14:00Z</dcterms:modified>
</cp:coreProperties>
</file>